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91.png" ContentType="image/png"/>
  <Override PartName="/word/media/rId90.png" ContentType="image/png"/>
  <Override PartName="/word/media/rId87.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30</w:t>
      </w:r>
      <w:r>
        <w:t xml:space="preserve"> </w:t>
      </w:r>
      <w:r>
        <w:t xml:space="preserve">December,</w:t>
      </w:r>
      <w:r>
        <w:t xml:space="preserve"> </w:t>
      </w:r>
      <w:r>
        <w:t xml:space="preserve">2021</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2"/>
    <w:bookmarkStart w:id="27"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3"/>
    <w:bookmarkStart w:id="24"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4"/>
    <w:bookmarkStart w:id="25"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6"/>
    <w:bookmarkEnd w:id="27"/>
    <w:bookmarkStart w:id="31" w:name="results"/>
    <w:p>
      <w:pPr>
        <w:pStyle w:val="Heading1"/>
      </w:pPr>
      <w:r>
        <w:t xml:space="preserve">Results</w:t>
      </w:r>
    </w:p>
    <w:bookmarkStart w:id="28"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8"/>
    <w:bookmarkStart w:id="29" w:name="gastric-lavage-1"/>
    <w:p>
      <w:pPr>
        <w:pStyle w:val="Heading2"/>
      </w:pPr>
      <w:r>
        <w:t xml:space="preserve">Gastric Lavage</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 indicating the method was effective. Of the 1,564 Northern Pikeminnow sampled using gastric lavage, we found contents in some form in 350 (22.4%) stomachs and confirmed fish or fish parts in 44 (12.6%) of those. Northern Pikeminnow captured during the spring 2021 effort had a higher proportion of diets with fish contents (6.7%) than fish captured in the fall 2019 (1.8%) and fall 2020 (3.1%)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29"/>
    <w:bookmarkStart w:id="30"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r>
        <w:t xml:space="preserve"> </w:t>
      </w:r>
    </w:p>
    <w:bookmarkEnd w:id="30"/>
    <w:bookmarkEnd w:id="31"/>
    <w:bookmarkStart w:id="41"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2"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2"/>
    <w:bookmarkStart w:id="33" w:name="gastric-lavage-2"/>
    <w:p>
      <w:pPr>
        <w:pStyle w:val="Heading2"/>
      </w:pPr>
      <w:r>
        <w:t xml:space="preserve">Gastric Lavage</w:t>
      </w:r>
    </w:p>
    <w:p>
      <w:pPr>
        <w:pStyle w:val="FirstParagraph"/>
      </w:pPr>
      <w:r>
        <w:t xml:space="preserve">We performed gastric lavage on nearly all Northern Pikeminnow collected during this study. Aside from juvenile Chinook Salmon, identified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w:t>
      </w:r>
      <w:r>
        <w:rPr>
          <w:bCs/>
          <w:b/>
        </w:rPr>
        <w:t xml:space="preserve">Hodgson1998?</w:t>
      </w:r>
      <w:r>
        <w:t xml:space="preserve">)</w:t>
      </w:r>
      <w:r>
        <w:t xml:space="preserve">), and further, angled fish are much more likely to have empty stomachs</w:t>
      </w:r>
      <w:r>
        <w:t xml:space="preserve"> </w:t>
      </w:r>
      <w:r>
        <w:t xml:space="preserve">(</w:t>
      </w:r>
      <w:r>
        <w:rPr>
          <w:bCs/>
          <w:b/>
        </w:rPr>
        <w:t xml:space="preserve">Jurajda2016?</w:t>
      </w:r>
      <w:r>
        <w:t xml:space="preserve">)</w:t>
      </w:r>
      <w:r>
        <w:t xml:space="preserve">. Second, unlike other predators such as Smallmouth Bass and Walleye that are commonly sampled using gastric lavage</w:t>
      </w:r>
      <w:r>
        <w:t xml:space="preserve"> </w:t>
      </w:r>
      <w:r>
        <w:t xml:space="preserve">(</w:t>
      </w:r>
      <w:r>
        <w:rPr>
          <w:bCs/>
          <w:b/>
        </w:rPr>
        <w:t xml:space="preserve">Kamler2001?</w:t>
      </w:r>
      <w:r>
        <w:t xml:space="preserve">)</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w:t>
      </w:r>
      <w:r>
        <w:rPr>
          <w:bCs/>
          <w:b/>
        </w:rPr>
        <w:t xml:space="preserve">Hartleb1995?</w:t>
      </w:r>
      <w:r>
        <w:t xml:space="preserve">)</w:t>
      </w:r>
      <w:r>
        <w:t xml:space="preserve">, or alternately, requires a modification in methodology to flush food items out the vent of the fish</w:t>
      </w:r>
      <w:r>
        <w:t xml:space="preserve"> </w:t>
      </w:r>
      <w:r>
        <w:t xml:space="preserve">(</w:t>
      </w:r>
      <w:r>
        <w:rPr>
          <w:bCs/>
          <w:b/>
        </w:rPr>
        <w:t xml:space="preserve">Wasowicz1994?</w:t>
      </w:r>
      <w:r>
        <w:t xml:space="preserve">)</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results suggest.</w:t>
      </w:r>
      <w:r>
        <w:t xml:space="preserve"> </w:t>
      </w:r>
    </w:p>
    <w:bookmarkEnd w:id="33"/>
    <w:bookmarkStart w:id="34"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4"/>
    <w:bookmarkStart w:id="35"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5"/>
    <w:bookmarkStart w:id="38"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6">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7">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8"/>
    <w:bookmarkStart w:id="39" w:name="management-implications"/>
    <w:p>
      <w:pPr>
        <w:pStyle w:val="Heading2"/>
      </w:pPr>
      <w:r>
        <w:t xml:space="preserve">Management Implications</w:t>
      </w:r>
    </w:p>
    <w:p>
      <w:pPr>
        <w:pStyle w:val="FirstParagraph"/>
      </w:pPr>
      <w:r>
        <w:t xml:space="preserve">Chinook Salmon populations in the Upper Salmon River MPG support local fisheries and economies in years with sufficient abundance and have substantial cultural value in the region. These populations additionally support downriver commercial and subsistence fisheries in the Snake and Columbia rivers. Recovery of the MPG is desired which requires that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annual adult natural-origin returns by 26.4 to 145.6 to upriver populations. Although this does not sound like a substantial amount, it represents 4.7% - 26.1% of the total mean adult escapement of 558 reported for the Upper Salmon River MPG in 2017 - 2019</w:t>
      </w:r>
      <w:r>
        <w:t xml:space="preserve"> </w:t>
      </w:r>
      <w:r>
        <w:t xml:space="preserve">(Kinzer et al. 2020)</w:t>
      </w:r>
      <w:r>
        <w:t xml:space="preserve">. Presumably, reductions in adult returns also affect natural-origin Sockeye Salmon and steelhead as well as hatchery populations in the Upper Salmon which provide for recreational fishing opportunities. Consequently, reducing predation mortality at Deadwater Slough could potentially benefit multiple upriver natural and hatchery populations for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9"/>
    <w:bookmarkStart w:id="40"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0"/>
    <w:bookmarkEnd w:id="41"/>
    <w:bookmarkStart w:id="42"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Funding for this study was provided by the Bureau of Reclamation, Pacific Northwest Regional Office (contract No. 140R1021F0018) with assistance from the Idaho Governor’s Office of Species Conservation.</w:t>
      </w:r>
    </w:p>
    <w:p>
      <w:r>
        <w:br w:type="page"/>
      </w:r>
    </w:p>
    <w:bookmarkEnd w:id="42"/>
    <w:bookmarkStart w:id="82" w:name="literature-cited"/>
    <w:p>
      <w:pPr>
        <w:pStyle w:val="Heading1"/>
      </w:pPr>
      <w:r>
        <w:t xml:space="preserve">Literature Cited</w:t>
      </w:r>
    </w:p>
    <w:bookmarkStart w:id="81" w:name="refs"/>
    <w:bookmarkStart w:id="43"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3"/>
    <w:bookmarkStart w:id="44"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4"/>
    <w:bookmarkStart w:id="45"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5"/>
    <w:bookmarkStart w:id="46"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6"/>
    <w:bookmarkStart w:id="47"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7"/>
    <w:bookmarkStart w:id="48"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9"/>
    <w:bookmarkStart w:id="50"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0"/>
    <w:bookmarkStart w:id="51"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1"/>
    <w:bookmarkStart w:id="52"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2"/>
    <w:bookmarkStart w:id="53"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3"/>
    <w:bookmarkStart w:id="54"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4"/>
    <w:bookmarkStart w:id="55"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5"/>
    <w:bookmarkStart w:id="56"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6"/>
    <w:bookmarkStart w:id="57"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7"/>
    <w:bookmarkStart w:id="58"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8"/>
    <w:bookmarkStart w:id="59"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59"/>
    <w:bookmarkStart w:id="60"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0"/>
    <w:bookmarkStart w:id="61"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1"/>
    <w:bookmarkStart w:id="62"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2"/>
    <w:bookmarkStart w:id="63"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3"/>
    <w:bookmarkStart w:id="64"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4"/>
    <w:bookmarkStart w:id="65"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5"/>
    <w:bookmarkStart w:id="66"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6"/>
    <w:bookmarkStart w:id="67"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7"/>
    <w:bookmarkStart w:id="68"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8"/>
    <w:bookmarkStart w:id="69"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9"/>
    <w:bookmarkStart w:id="70"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0"/>
    <w:bookmarkStart w:id="71"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1"/>
    <w:bookmarkStart w:id="72"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2"/>
    <w:bookmarkStart w:id="73"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3"/>
    <w:bookmarkStart w:id="74"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4"/>
    <w:bookmarkStart w:id="75"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5"/>
    <w:bookmarkStart w:id="76"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6"/>
    <w:bookmarkStart w:id="77"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7"/>
    <w:bookmarkStart w:id="78"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8"/>
    <w:bookmarkStart w:id="79"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9"/>
    <w:bookmarkStart w:id="80"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0"/>
    <w:bookmarkEnd w:id="81"/>
    <w:p>
      <w:r>
        <w:br w:type="page"/>
      </w:r>
    </w:p>
    <w:bookmarkEnd w:id="82"/>
    <w:bookmarkStart w:id="84" w:name="tables"/>
    <w:p>
      <w:pPr>
        <w:pStyle w:val="Heading1"/>
      </w:pPr>
      <w:r>
        <w:t xml:space="preserve">Tables</w:t>
      </w:r>
    </w:p>
    <w:bookmarkStart w:id="83" w:name="tables"/>
    <w:bookmarkEnd w:id="83"/>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4"/>
    <w:bookmarkStart w:id="93" w:name="figures"/>
    <w:p>
      <w:pPr>
        <w:pStyle w:val="Heading1"/>
      </w:pPr>
      <w:r>
        <w:t xml:space="preserve">Figures</w:t>
      </w:r>
    </w:p>
    <w:bookmarkStart w:id="85" w:name="figures"/>
    <w:bookmarkEnd w:id="85"/>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6"/>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2" w:name="colophon"/>
    <w:p>
      <w:pPr>
        <w:pStyle w:val="Heading3"/>
      </w:pPr>
      <w:r>
        <w:t xml:space="preserve">Colophon</w:t>
      </w:r>
    </w:p>
    <w:p>
      <w:pPr>
        <w:pStyle w:val="FirstParagraph"/>
      </w:pPr>
      <w:r>
        <w:t xml:space="preserve">This report was generated on 2021-12-30 08:06:42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2021-12-30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[f5bae01] 2021-12-29: added very draft abstract</w:t>
      </w:r>
    </w:p>
    <w:bookmarkEnd w:id="92"/>
    <w:bookmarkEnd w:id="9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2021-12-30T15:06:45Z</dcterms:created>
  <dcterms:modified xsi:type="dcterms:W3CDTF">2021-12-30T15:06:45Z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